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EC" w:rsidRDefault="00130472" w:rsidP="000752EC">
      <w:pPr>
        <w:pStyle w:val="Heading1"/>
        <w:pageBreakBefore/>
        <w:rPr>
          <w:rFonts w:eastAsia="Calibri"/>
        </w:rPr>
      </w:pPr>
      <w:bookmarkStart w:id="0" w:name="_Toc112402966"/>
      <w:r w:rsidRPr="00130472">
        <w:rPr>
          <w:rFonts w:eastAsia="Calibri"/>
          <w:b/>
          <w:sz w:val="24"/>
        </w:rPr>
        <w:t>CÔNG TY TRÁCH NHIỆM HỮU HẠN MỘT THÀNH VIÊN QUẢN LÝ TÀI SẢN CỦA CÁC TỔ CHỨC TÍN DỤNG VIỆT NAM</w:t>
      </w:r>
      <w:r w:rsidRPr="00130472" w:rsidDel="00130472">
        <w:rPr>
          <w:rFonts w:eastAsia="Calibri"/>
          <w:b/>
          <w:sz w:val="24"/>
        </w:rPr>
        <w:t xml:space="preserve"> </w:t>
      </w:r>
      <w:r w:rsidR="000752EC">
        <w:rPr>
          <w:rFonts w:eastAsia="Calibri"/>
          <w:b/>
          <w:i/>
          <w:sz w:val="24"/>
        </w:rPr>
        <w:t xml:space="preserve">(Vietnam Asset Management Company - VAMC), </w:t>
      </w:r>
      <w:r w:rsidR="000752EC">
        <w:rPr>
          <w:rFonts w:eastAsia="Calibri"/>
        </w:rPr>
        <w:t>doanh nghiệp đặc thù, được tổ chức dưới hình thức công ty trách nhiệm hữu hạn một thành viên, do Nhà nước sở hữu 100% vốn điều lệ và chịu sự quản lý nhà nước, thanh tra, giám sát của Ngân hàng Nhà nước Việt Nam</w:t>
      </w:r>
      <w:r w:rsidR="00D13272">
        <w:rPr>
          <w:rFonts w:eastAsia="Calibri"/>
        </w:rPr>
        <w:t xml:space="preserve">, </w:t>
      </w:r>
      <w:r w:rsidR="00D13272" w:rsidRPr="00D13272">
        <w:rPr>
          <w:rFonts w:eastAsia="Arial"/>
          <w:szCs w:val="28"/>
        </w:rPr>
        <w:t>được thành lập theo Theo Nghị định số 53/2013/NĐ-CP ngày 18.05.2013 và chính thức khai trương đi vào hoạt độ</w:t>
      </w:r>
      <w:r w:rsidR="00D13272">
        <w:rPr>
          <w:rFonts w:eastAsia="Arial"/>
          <w:szCs w:val="28"/>
        </w:rPr>
        <w:t xml:space="preserve">ng ngày 26.7.2013, </w:t>
      </w:r>
      <w:r w:rsidR="00D13272">
        <w:rPr>
          <w:rFonts w:eastAsia="Calibri"/>
        </w:rPr>
        <w:t xml:space="preserve">để </w:t>
      </w:r>
      <w:r w:rsidR="00D13272">
        <w:rPr>
          <w:rFonts w:eastAsia="Arial"/>
          <w:szCs w:val="28"/>
        </w:rPr>
        <w:t>xử lý nhanh, có hiệu quả nợ xấu</w:t>
      </w:r>
      <w:r w:rsidR="000752EC">
        <w:rPr>
          <w:rFonts w:eastAsia="Calibri"/>
        </w:rPr>
        <w:t>.</w:t>
      </w:r>
      <w:bookmarkEnd w:id="0"/>
      <w:r w:rsidR="00D13272">
        <w:rPr>
          <w:rFonts w:eastAsia="Calibri"/>
        </w:rPr>
        <w:t xml:space="preserve"> </w:t>
      </w:r>
    </w:p>
    <w:p w:rsidR="000752EC" w:rsidRPr="005A00AB" w:rsidRDefault="000752EC" w:rsidP="000752EC">
      <w:pPr>
        <w:widowControl w:val="0"/>
        <w:tabs>
          <w:tab w:val="left" w:pos="851"/>
        </w:tabs>
        <w:spacing w:before="120" w:after="120" w:line="240" w:lineRule="auto"/>
        <w:ind w:firstLine="567"/>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pt-BR"/>
        </w:rPr>
        <w:t xml:space="preserve">Cuộc khủng hoảng tài chính toàn cầu 2008-2009 kéo theo sự suy thoái của </w:t>
      </w:r>
      <w:r>
        <w:rPr>
          <w:rFonts w:ascii="Times New Roman" w:eastAsia="Arial" w:hAnsi="Times New Roman" w:cs="Times New Roman"/>
          <w:sz w:val="28"/>
          <w:szCs w:val="28"/>
        </w:rPr>
        <w:t xml:space="preserve">nền kinh tế </w:t>
      </w:r>
      <w:r>
        <w:rPr>
          <w:rFonts w:ascii="Times New Roman" w:eastAsia="Arial" w:hAnsi="Times New Roman" w:cs="Times New Roman"/>
          <w:sz w:val="28"/>
          <w:szCs w:val="28"/>
          <w:lang w:val="pt-BR"/>
        </w:rPr>
        <w:t>thế giới</w:t>
      </w:r>
      <w:r>
        <w:rPr>
          <w:rFonts w:ascii="Times New Roman" w:eastAsia="Arial" w:hAnsi="Times New Roman" w:cs="Times New Roman"/>
          <w:sz w:val="28"/>
          <w:szCs w:val="28"/>
        </w:rPr>
        <w:t xml:space="preserve"> giai đoạn 2008 - 2012, cùng với những </w:t>
      </w:r>
      <w:r w:rsidR="00130472">
        <w:rPr>
          <w:rFonts w:ascii="Times New Roman" w:eastAsia="Arial" w:hAnsi="Times New Roman" w:cs="Times New Roman"/>
          <w:sz w:val="28"/>
          <w:szCs w:val="28"/>
          <w:lang w:val="en-US"/>
        </w:rPr>
        <w:t>vấn đề</w:t>
      </w:r>
      <w:r>
        <w:rPr>
          <w:rFonts w:ascii="Times New Roman" w:eastAsia="Arial" w:hAnsi="Times New Roman" w:cs="Times New Roman"/>
          <w:sz w:val="28"/>
          <w:szCs w:val="28"/>
        </w:rPr>
        <w:t xml:space="preserve"> </w:t>
      </w:r>
      <w:r>
        <w:rPr>
          <w:rFonts w:ascii="Times New Roman" w:eastAsia="Arial" w:hAnsi="Times New Roman" w:cs="Times New Roman"/>
          <w:sz w:val="28"/>
          <w:szCs w:val="28"/>
          <w:lang w:val="pt-BR"/>
        </w:rPr>
        <w:t>trong nội tại nền kinh tế Việt Nam đã gây ra những bất ổn kinh tế vĩ mô như tăng trưởng kinh tế giảm xuống mức thấp, lạm phát cao, thị trường chứng khoán và bất động sản đóng băng</w:t>
      </w:r>
      <w:r>
        <w:rPr>
          <w:rFonts w:ascii="Times New Roman" w:eastAsia="Arial" w:hAnsi="Times New Roman" w:cs="Times New Roman"/>
          <w:sz w:val="28"/>
          <w:szCs w:val="28"/>
        </w:rPr>
        <w:t xml:space="preserve">. Điều này đã khiến cho hoạt động sản xuất kinh doanh của các doanh nghiệp gặp nhiều khó khăn, sản xuất trì trệ, không có khả năng hoàn trả các khoản nợ cho ngân hàng. Vấn đề trở nên trầm trọng khi các </w:t>
      </w:r>
      <w:r w:rsidR="00130472" w:rsidRPr="00C45A42">
        <w:rPr>
          <w:rFonts w:ascii="Times New Roman" w:eastAsia="Arial" w:hAnsi="Times New Roman" w:cs="Times New Roman"/>
          <w:sz w:val="28"/>
          <w:szCs w:val="28"/>
        </w:rPr>
        <w:t xml:space="preserve">tổ chức tín dụng </w:t>
      </w:r>
      <w:r>
        <w:rPr>
          <w:rFonts w:ascii="Times New Roman" w:eastAsia="Arial" w:hAnsi="Times New Roman" w:cs="Times New Roman"/>
          <w:sz w:val="28"/>
          <w:szCs w:val="28"/>
        </w:rPr>
        <w:t>đã nỗ lực tự xử lý nợ xấu dưới mọi hình thức, song nợ xấu vẫn tăng rất cao trong năm 2012 và những tháng đầu năm 2013. Điều này đòi h</w:t>
      </w:r>
      <w:r w:rsidR="00130472" w:rsidRPr="00C45A42">
        <w:rPr>
          <w:rFonts w:ascii="Times New Roman" w:eastAsia="Arial" w:hAnsi="Times New Roman" w:cs="Times New Roman"/>
          <w:sz w:val="28"/>
          <w:szCs w:val="28"/>
        </w:rPr>
        <w:t>ỏ</w:t>
      </w:r>
      <w:r>
        <w:rPr>
          <w:rFonts w:ascii="Times New Roman" w:eastAsia="Arial" w:hAnsi="Times New Roman" w:cs="Times New Roman"/>
          <w:sz w:val="28"/>
          <w:szCs w:val="28"/>
        </w:rPr>
        <w:t xml:space="preserve">i Chính phủ, </w:t>
      </w:r>
      <w:r w:rsidR="00D13272">
        <w:rPr>
          <w:rFonts w:ascii="Times New Roman" w:eastAsia="Arial" w:hAnsi="Times New Roman" w:cs="Times New Roman"/>
          <w:sz w:val="28"/>
          <w:szCs w:val="28"/>
          <w:lang w:val="en-US"/>
        </w:rPr>
        <w:t>N</w:t>
      </w:r>
      <w:r w:rsidR="00130472" w:rsidRPr="00C45A42">
        <w:rPr>
          <w:rFonts w:ascii="Times New Roman" w:eastAsia="Arial" w:hAnsi="Times New Roman" w:cs="Times New Roman"/>
          <w:sz w:val="28"/>
          <w:szCs w:val="28"/>
        </w:rPr>
        <w:t xml:space="preserve">gân hàng Nhà nước </w:t>
      </w:r>
      <w:r>
        <w:rPr>
          <w:rFonts w:ascii="Times New Roman" w:eastAsia="Arial" w:hAnsi="Times New Roman" w:cs="Times New Roman"/>
          <w:sz w:val="28"/>
          <w:szCs w:val="28"/>
        </w:rPr>
        <w:t xml:space="preserve">và các </w:t>
      </w:r>
      <w:r w:rsidR="00D13272" w:rsidRPr="00C45A42">
        <w:rPr>
          <w:rFonts w:ascii="Times New Roman" w:eastAsia="Arial" w:hAnsi="Times New Roman" w:cs="Times New Roman"/>
          <w:sz w:val="28"/>
          <w:szCs w:val="28"/>
        </w:rPr>
        <w:t>tổ chức tín dụng</w:t>
      </w:r>
      <w:r>
        <w:rPr>
          <w:rFonts w:ascii="Times New Roman" w:eastAsia="Arial" w:hAnsi="Times New Roman" w:cs="Times New Roman"/>
          <w:sz w:val="28"/>
          <w:szCs w:val="28"/>
        </w:rPr>
        <w:t xml:space="preserve">  phải có một công cụ đặc biệt hữu hiệu để xử lý nhanh, dứt điểm, đưa tỷ lệ nợ xấu của hệ thống các </w:t>
      </w:r>
      <w:r w:rsidR="00D13272" w:rsidRPr="00C45A42">
        <w:rPr>
          <w:rFonts w:ascii="Times New Roman" w:eastAsia="Arial" w:hAnsi="Times New Roman" w:cs="Times New Roman"/>
          <w:sz w:val="28"/>
          <w:szCs w:val="28"/>
        </w:rPr>
        <w:t xml:space="preserve">tổ chức tín dụng </w:t>
      </w:r>
      <w:r>
        <w:rPr>
          <w:rFonts w:ascii="Times New Roman" w:eastAsia="Arial" w:hAnsi="Times New Roman" w:cs="Times New Roman"/>
          <w:sz w:val="28"/>
          <w:szCs w:val="28"/>
        </w:rPr>
        <w:t xml:space="preserve">về mức an toàn, khơi thông dòng tín dụng cho nền kinh tế, bảo đảm an toàn, hiệu quả hoạt động của hệ thống ngân hàng. VAMC ra đời được đánh giá là một bước ngoặt và là công cụ đặc biệt của Nhà nước nhằm góp phần xử lý nhanh, có hiệu quả nợ xấu, đặc biệt, phải chuẩn bị hành trang cho quá trình tái cơ cấu các </w:t>
      </w:r>
      <w:r w:rsidR="00D13272" w:rsidRPr="00C45A42">
        <w:rPr>
          <w:rFonts w:ascii="Times New Roman" w:eastAsia="Arial" w:hAnsi="Times New Roman" w:cs="Times New Roman"/>
          <w:sz w:val="28"/>
          <w:szCs w:val="28"/>
        </w:rPr>
        <w:t>tổ chức tín dụng</w:t>
      </w:r>
      <w:r>
        <w:rPr>
          <w:rFonts w:ascii="Times New Roman" w:eastAsia="Arial" w:hAnsi="Times New Roman" w:cs="Times New Roman"/>
          <w:sz w:val="28"/>
          <w:szCs w:val="28"/>
        </w:rPr>
        <w:t xml:space="preserve"> và phân loại chất lượng theo thông lệ quốc tế mà không phải sử dụng vốn ngân sách của nhà nước.</w:t>
      </w:r>
      <w:r w:rsidR="00D13272">
        <w:rPr>
          <w:rFonts w:ascii="Times New Roman" w:eastAsia="Arial" w:hAnsi="Times New Roman" w:cs="Times New Roman"/>
          <w:sz w:val="28"/>
          <w:szCs w:val="28"/>
          <w:lang w:val="en-US"/>
        </w:rPr>
        <w:t xml:space="preserve"> </w:t>
      </w:r>
    </w:p>
    <w:p w:rsidR="000752EC" w:rsidRDefault="000752EC" w:rsidP="000752EC">
      <w:pPr>
        <w:spacing w:before="120" w:after="120" w:line="240" w:lineRule="auto"/>
        <w:ind w:firstLine="720"/>
        <w:jc w:val="both"/>
        <w:rPr>
          <w:rFonts w:ascii="Times New Roman" w:eastAsia="Calibri" w:hAnsi="Times New Roman" w:cs="Times New Roman"/>
          <w:sz w:val="28"/>
          <w:szCs w:val="28"/>
          <w:lang w:val="pt-BR"/>
        </w:rPr>
      </w:pPr>
      <w:r>
        <w:rPr>
          <w:rFonts w:ascii="Times New Roman" w:eastAsia="Calibri" w:hAnsi="Times New Roman" w:cs="Times New Roman"/>
          <w:bCs/>
          <w:sz w:val="28"/>
          <w:szCs w:val="28"/>
          <w:lang w:val="pt-BR"/>
        </w:rPr>
        <w:t xml:space="preserve">VAMC </w:t>
      </w:r>
      <w:r>
        <w:rPr>
          <w:rFonts w:ascii="Times New Roman" w:eastAsia="Calibri" w:hAnsi="Times New Roman" w:cs="Times New Roman"/>
          <w:color w:val="000000"/>
          <w:sz w:val="28"/>
          <w:szCs w:val="28"/>
          <w:shd w:val="clear" w:color="auto" w:fill="FFFFFF"/>
          <w:lang w:val="pt-BR"/>
        </w:rPr>
        <w:t xml:space="preserve">hoạt động theo nguyên tắc: (i) </w:t>
      </w:r>
      <w:r>
        <w:rPr>
          <w:rFonts w:ascii="Times New Roman" w:eastAsia="Calibri" w:hAnsi="Times New Roman" w:cs="Times New Roman"/>
          <w:color w:val="000000"/>
          <w:sz w:val="28"/>
          <w:szCs w:val="28"/>
        </w:rPr>
        <w:t>Lấy thu bù chi và không vì mục tiêu lợi nhuậ</w:t>
      </w:r>
      <w:r>
        <w:rPr>
          <w:rFonts w:ascii="Times New Roman" w:eastAsia="Calibri" w:hAnsi="Times New Roman" w:cs="Times New Roman"/>
          <w:color w:val="000000"/>
          <w:sz w:val="28"/>
          <w:szCs w:val="28"/>
          <w:lang w:val="pt-BR"/>
        </w:rPr>
        <w:t xml:space="preserve">n; (ii) </w:t>
      </w:r>
      <w:r>
        <w:rPr>
          <w:rFonts w:ascii="Times New Roman" w:eastAsia="Calibri" w:hAnsi="Times New Roman" w:cs="Times New Roman"/>
          <w:color w:val="000000"/>
          <w:sz w:val="28"/>
          <w:szCs w:val="28"/>
        </w:rPr>
        <w:t>Công khai, minh bạch trong hoạt động mua, xử lý nợ xấu</w:t>
      </w:r>
      <w:r>
        <w:rPr>
          <w:rFonts w:ascii="Times New Roman" w:eastAsia="Calibri" w:hAnsi="Times New Roman" w:cs="Times New Roman"/>
          <w:color w:val="000000"/>
          <w:sz w:val="28"/>
          <w:szCs w:val="28"/>
          <w:lang w:val="pt-BR"/>
        </w:rPr>
        <w:t xml:space="preserve">; (iii) </w:t>
      </w:r>
      <w:r>
        <w:rPr>
          <w:rFonts w:ascii="Times New Roman" w:eastAsia="Calibri" w:hAnsi="Times New Roman" w:cs="Times New Roman"/>
          <w:color w:val="000000"/>
          <w:sz w:val="28"/>
          <w:szCs w:val="28"/>
        </w:rPr>
        <w:t>Hạn chế rủi ro và chi phí trong xử lý nợ xấu.</w:t>
      </w:r>
    </w:p>
    <w:p w:rsidR="000752EC" w:rsidRDefault="000752EC" w:rsidP="000752EC">
      <w:pPr>
        <w:spacing w:before="120" w:after="12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color w:val="000000"/>
          <w:spacing w:val="-4"/>
          <w:sz w:val="28"/>
          <w:szCs w:val="26"/>
          <w:lang w:val="pt-BR"/>
        </w:rPr>
        <w:t>Năm 2017, VAMC được tăng vốn điều lệ từ 500 tỷ đồng lên 2.000 tỷ đồng, giúp VAMC có thêm nguồn vốn để mua nợ.</w:t>
      </w:r>
      <w:r w:rsidR="00D13272">
        <w:rPr>
          <w:rFonts w:ascii="Times New Roman" w:eastAsia="Calibri" w:hAnsi="Times New Roman" w:cs="Times New Roman"/>
          <w:color w:val="000000"/>
          <w:spacing w:val="-4"/>
          <w:sz w:val="28"/>
          <w:szCs w:val="26"/>
          <w:lang w:val="pt-BR"/>
        </w:rPr>
        <w:t xml:space="preserve"> </w:t>
      </w:r>
      <w:r>
        <w:rPr>
          <w:rFonts w:ascii="Times New Roman" w:eastAsia="Calibri" w:hAnsi="Times New Roman" w:cs="Times New Roman"/>
          <w:color w:val="000000"/>
          <w:spacing w:val="-4"/>
          <w:sz w:val="28"/>
          <w:szCs w:val="26"/>
          <w:lang w:val="pt-BR"/>
        </w:rPr>
        <w:t xml:space="preserve">Đồng thời, Nghị quyết số 42/2017/QH14 ra đời đã tạo thêm hành lang pháp lý cho hoạt động mua nợ thị trường của VAMC như: VAMC được chuyển khoản nợ xấu mua bằng </w:t>
      </w:r>
      <w:r w:rsidR="008A31A3">
        <w:rPr>
          <w:rFonts w:ascii="Times New Roman" w:eastAsia="Calibri" w:hAnsi="Times New Roman" w:cs="Times New Roman"/>
          <w:color w:val="000000"/>
          <w:spacing w:val="-4"/>
          <w:sz w:val="28"/>
          <w:szCs w:val="26"/>
          <w:lang w:val="pt-BR"/>
        </w:rPr>
        <w:t xml:space="preserve">trái phiếu đặc biệt </w:t>
      </w:r>
      <w:r>
        <w:rPr>
          <w:rFonts w:ascii="Times New Roman" w:eastAsia="Calibri" w:hAnsi="Times New Roman" w:cs="Times New Roman"/>
          <w:color w:val="000000"/>
          <w:spacing w:val="-4"/>
          <w:sz w:val="28"/>
          <w:szCs w:val="26"/>
          <w:lang w:val="pt-BR"/>
        </w:rPr>
        <w:t xml:space="preserve">sang khoản nợ mua theo </w:t>
      </w:r>
      <w:r w:rsidR="008A31A3">
        <w:rPr>
          <w:rFonts w:ascii="Times New Roman" w:eastAsia="Calibri" w:hAnsi="Times New Roman" w:cs="Times New Roman"/>
          <w:color w:val="000000"/>
          <w:spacing w:val="-4"/>
          <w:sz w:val="28"/>
          <w:szCs w:val="26"/>
          <w:lang w:val="pt-BR"/>
        </w:rPr>
        <w:t>giá trị thị trường</w:t>
      </w:r>
      <w:r>
        <w:rPr>
          <w:rFonts w:ascii="Times New Roman" w:eastAsia="Calibri" w:hAnsi="Times New Roman" w:cs="Times New Roman"/>
          <w:color w:val="000000"/>
          <w:spacing w:val="-4"/>
          <w:sz w:val="28"/>
          <w:szCs w:val="26"/>
          <w:lang w:val="pt-BR"/>
        </w:rPr>
        <w:t xml:space="preserve">, VAMC được mua nợ bằng giá trị định giá của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pacing w:val="-4"/>
          <w:sz w:val="28"/>
          <w:szCs w:val="26"/>
          <w:lang w:val="pt-BR"/>
        </w:rPr>
        <w:t xml:space="preserve"> độc lập, được phân chia với </w:t>
      </w:r>
      <w:r w:rsidR="00D13272" w:rsidRPr="00C45A42">
        <w:rPr>
          <w:rFonts w:ascii="Times New Roman" w:eastAsia="Arial" w:hAnsi="Times New Roman" w:cs="Times New Roman"/>
          <w:sz w:val="28"/>
          <w:szCs w:val="28"/>
        </w:rPr>
        <w:t xml:space="preserve">tổ chức tín dụng </w:t>
      </w:r>
      <w:r>
        <w:rPr>
          <w:rFonts w:ascii="Times New Roman" w:eastAsia="Calibri" w:hAnsi="Times New Roman" w:cs="Times New Roman"/>
          <w:color w:val="000000"/>
          <w:spacing w:val="-4"/>
          <w:sz w:val="28"/>
          <w:szCs w:val="26"/>
          <w:lang w:val="pt-BR"/>
        </w:rPr>
        <w:t xml:space="preserve">giá trị còn lại của số tiền thu hồi được từ khoản nợ xấu này sau khi trừ giá mua và các chi phí xử lý, được thực hiện quyền thu giữ, được mua nợ đối với các khoản nợ ngoài bảng cân đối kế toán của </w:t>
      </w:r>
      <w:r w:rsidR="00D13272" w:rsidRPr="00C45A42">
        <w:rPr>
          <w:rFonts w:ascii="Times New Roman" w:eastAsia="Arial" w:hAnsi="Times New Roman" w:cs="Times New Roman"/>
          <w:sz w:val="28"/>
          <w:szCs w:val="28"/>
        </w:rPr>
        <w:t xml:space="preserve">tổ chức tín dụng </w:t>
      </w:r>
      <w:r>
        <w:rPr>
          <w:rFonts w:ascii="Times New Roman" w:eastAsia="Calibri" w:hAnsi="Times New Roman" w:cs="Times New Roman"/>
          <w:color w:val="000000"/>
          <w:spacing w:val="-4"/>
          <w:sz w:val="28"/>
          <w:szCs w:val="26"/>
          <w:lang w:val="pt-BR"/>
        </w:rPr>
        <w:t>...</w:t>
      </w:r>
    </w:p>
    <w:p w:rsidR="000752EC" w:rsidRDefault="000752EC" w:rsidP="000752EC">
      <w:pPr>
        <w:spacing w:before="120" w:after="12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sz w:val="28"/>
          <w:lang w:val="pt-BR"/>
        </w:rPr>
        <w:t xml:space="preserve">Về cơ bản các </w:t>
      </w:r>
      <w:r w:rsidR="00D13272">
        <w:rPr>
          <w:rFonts w:ascii="Times New Roman" w:eastAsia="Calibri" w:hAnsi="Times New Roman" w:cs="Times New Roman"/>
          <w:sz w:val="28"/>
          <w:lang w:val="pt-BR"/>
        </w:rPr>
        <w:t>công ty quản lý tài sản</w:t>
      </w:r>
      <w:r w:rsidR="00D13272">
        <w:rPr>
          <w:rFonts w:ascii="Times New Roman" w:eastAsia="Calibri" w:hAnsi="Times New Roman" w:cs="Times New Roman"/>
          <w:sz w:val="28"/>
          <w:lang w:val="pt-BR"/>
        </w:rPr>
        <w:t xml:space="preserve"> </w:t>
      </w:r>
      <w:r>
        <w:rPr>
          <w:rFonts w:ascii="Times New Roman" w:eastAsia="Calibri" w:hAnsi="Times New Roman" w:cs="Times New Roman"/>
          <w:sz w:val="28"/>
          <w:lang w:val="pt-BR"/>
        </w:rPr>
        <w:t xml:space="preserve">có 02 nhóm nhiệm vụ chính: Nhiệm vụ về mua nợ/nợ xấu và nhiệm vụ về xử lý nợ/nợ xấu, ngoài ra, tùy vào đặc thù điều kiện kinh tế xã hội mỗi nước thì các </w:t>
      </w:r>
      <w:r w:rsidR="00D13272">
        <w:rPr>
          <w:rFonts w:ascii="Times New Roman" w:eastAsia="Calibri" w:hAnsi="Times New Roman" w:cs="Times New Roman"/>
          <w:sz w:val="28"/>
          <w:lang w:val="pt-BR"/>
        </w:rPr>
        <w:t>công ty quản lý tài sản</w:t>
      </w:r>
      <w:bookmarkStart w:id="1" w:name="_GoBack"/>
      <w:bookmarkEnd w:id="1"/>
      <w:r>
        <w:rPr>
          <w:rFonts w:ascii="Times New Roman" w:eastAsia="Calibri" w:hAnsi="Times New Roman" w:cs="Times New Roman"/>
          <w:sz w:val="28"/>
          <w:lang w:val="pt-BR"/>
        </w:rPr>
        <w:t xml:space="preserve"> sẽ có thêm các </w:t>
      </w:r>
      <w:r>
        <w:rPr>
          <w:rFonts w:ascii="Times New Roman" w:eastAsia="Calibri" w:hAnsi="Times New Roman" w:cs="Times New Roman"/>
          <w:sz w:val="28"/>
          <w:lang w:val="pt-BR"/>
        </w:rPr>
        <w:lastRenderedPageBreak/>
        <w:t>nhiệm vụ khác. Tuy nhiên, từ năm 2013-2020, VAMC có hai nhiệm vụ chính đó là: mua nợ xấu và xử lý nợ xấu.</w:t>
      </w:r>
    </w:p>
    <w:p w:rsidR="000752EC" w:rsidRDefault="000752EC" w:rsidP="000752EC">
      <w:pPr>
        <w:spacing w:before="120" w:after="120" w:line="240" w:lineRule="auto"/>
        <w:ind w:firstLine="720"/>
        <w:jc w:val="both"/>
        <w:rPr>
          <w:rFonts w:ascii="Times New Roman" w:eastAsia="Calibri" w:hAnsi="Times New Roman" w:cs="Times New Roman"/>
          <w:bCs/>
          <w:sz w:val="28"/>
          <w:lang w:val="pt-BR"/>
        </w:rPr>
      </w:pPr>
      <w:r>
        <w:rPr>
          <w:rFonts w:ascii="Times New Roman" w:eastAsia="Calibri" w:hAnsi="Times New Roman" w:cs="Times New Roman"/>
          <w:sz w:val="28"/>
          <w:lang w:val="pt-BR"/>
        </w:rPr>
        <w:t>Hoạt động mua nợ xấu của VAMC, khi thực hiện mua nợ xấu, VAMC có thể triển khai theo hai phương thức chính đó mua nợ xấu theo giá trị sổ sách và mua theo giá trị thị trường của các khoản nợ.</w:t>
      </w:r>
    </w:p>
    <w:p w:rsidR="000752EC" w:rsidRDefault="000752EC" w:rsidP="000752EC">
      <w:pPr>
        <w:widowControl w:val="0"/>
        <w:spacing w:before="120" w:after="120" w:line="240" w:lineRule="auto"/>
        <w:ind w:firstLine="720"/>
        <w:jc w:val="both"/>
        <w:rPr>
          <w:rFonts w:ascii="Times New Roman" w:eastAsia="Calibri" w:hAnsi="Times New Roman" w:cs="Times New Roman"/>
          <w:sz w:val="28"/>
          <w:szCs w:val="26"/>
          <w:lang w:val="pt-BR"/>
        </w:rPr>
      </w:pPr>
      <w:r>
        <w:rPr>
          <w:rFonts w:ascii="Times New Roman" w:eastAsia="Calibri" w:hAnsi="Times New Roman" w:cs="Times New Roman"/>
          <w:sz w:val="28"/>
          <w:lang w:val="pt-BR"/>
        </w:rPr>
        <w:t xml:space="preserve">Mua nợ xấu/nợ theo giá trị sổ sách của khoản nợ bằng trái phiếu đặc biệt do VAMC phát hành: Đó là việc VAMC mua các khoản nợ xấu từ các ngân hàng bằng theo giá trị sổ sách của các khoản nợ này. Hình thức này nhằm gom các khoản nợ xấu về cùng một “rổ” sau đó tiến hành phân loại các khoản nợ và áp dụng các biện pháp phù hợp. Tuy nhiên, việc mua nợ theo giá trị sổ sách nhằm làm sạch bảng cân đối kế toán của các ngân hàng, chứ chưa phải hình thức xử lý nợ thực tế. Hình thức này có ưu điểm là có thể áp dụng ngay cả khi thị trường mua bán nợ chưa hình thành và phát triển, nhưng thời gian xử lý mua nợ xấu có thể kéo dài và làm chậm tiến độ xử lý thu hồi nợ. </w:t>
      </w:r>
      <w:r>
        <w:rPr>
          <w:rFonts w:ascii="Times New Roman" w:eastAsia="Calibri" w:hAnsi="Times New Roman" w:cs="Times New Roman"/>
          <w:sz w:val="28"/>
          <w:szCs w:val="26"/>
          <w:lang w:val="pt-BR"/>
        </w:rPr>
        <w:t xml:space="preserve">VAMC có thể thực hiện mua nợ xấu riêng lẻ đối với từng khoản nợ cụ thể, hoặc mua theo lô đối với một nhóm các khoản nợ có cùng đặc điểm. </w:t>
      </w:r>
    </w:p>
    <w:p w:rsidR="000752EC" w:rsidRDefault="000752EC" w:rsidP="000752EC">
      <w:pPr>
        <w:widowControl w:val="0"/>
        <w:spacing w:before="120" w:after="120" w:line="240" w:lineRule="auto"/>
        <w:ind w:firstLine="720"/>
        <w:jc w:val="both"/>
        <w:rPr>
          <w:rFonts w:ascii="Times New Roman" w:eastAsia="Calibri" w:hAnsi="Times New Roman" w:cs="Times New Roman"/>
          <w:sz w:val="28"/>
          <w:lang w:val="pt-BR"/>
        </w:rPr>
      </w:pPr>
      <w:r>
        <w:rPr>
          <w:rFonts w:ascii="Times New Roman" w:eastAsia="Calibri" w:hAnsi="Times New Roman" w:cs="Times New Roman"/>
          <w:sz w:val="28"/>
          <w:szCs w:val="26"/>
          <w:lang w:val="pt-BR"/>
        </w:rPr>
        <w:t>Theo</w:t>
      </w:r>
      <w:r>
        <w:rPr>
          <w:rFonts w:ascii="Times New Roman" w:eastAsia="Calibri" w:hAnsi="Times New Roman" w:cs="Times New Roman"/>
          <w:color w:val="000000"/>
          <w:sz w:val="28"/>
          <w:szCs w:val="26"/>
          <w:lang w:val="pt-BR"/>
        </w:rPr>
        <w:t xml:space="preserve"> Nghị định số 53/2013/NĐ-CP và Thông tư số 19/2013/TT-NHNN, VAMC được mua nợ xấu từ các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theo giá trị sổ sách bằng trái phiếu đặc biệt do VAMC phát hành. Giá mua nợ bằng dư nợ gốc trừ đi khoản dự phòng cụ thể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đã trích lập cho khoản nợ đó. Trái phiếu đặc biệt có những đặc điểm cụ thể như sau: (i)</w:t>
      </w:r>
      <w:r w:rsidR="008A31A3">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Có lãi suất bằng 0%; (ii)</w:t>
      </w:r>
      <w:r w:rsidR="008A31A3">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 xml:space="preserve">Các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có thể dùng trái phiếu đặc biệt để vay tái cấp vốn tại </w:t>
      </w:r>
      <w:r w:rsidR="00D13272">
        <w:rPr>
          <w:rFonts w:ascii="Times New Roman" w:eastAsia="Arial" w:hAnsi="Times New Roman" w:cs="Times New Roman"/>
          <w:sz w:val="28"/>
          <w:szCs w:val="28"/>
          <w:lang w:val="en-US"/>
        </w:rPr>
        <w:t>N</w:t>
      </w:r>
      <w:r w:rsidR="00D13272" w:rsidRPr="00C45A42">
        <w:rPr>
          <w:rFonts w:ascii="Times New Roman" w:eastAsia="Arial" w:hAnsi="Times New Roman" w:cs="Times New Roman"/>
          <w:sz w:val="28"/>
          <w:szCs w:val="28"/>
        </w:rPr>
        <w:t>gân hàng Nhà nước</w:t>
      </w:r>
      <w:r>
        <w:rPr>
          <w:rFonts w:ascii="Times New Roman" w:eastAsia="Calibri" w:hAnsi="Times New Roman" w:cs="Times New Roman"/>
          <w:color w:val="000000"/>
          <w:sz w:val="28"/>
          <w:szCs w:val="26"/>
          <w:lang w:val="pt-BR"/>
        </w:rPr>
        <w:t>; (iii)</w:t>
      </w:r>
      <w:r w:rsidR="008A31A3">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 xml:space="preserve">Trái phiếu đặc biệt đã phát hành có thể được gia hạn theo đề nghị của TCTD và phê duyệt của </w:t>
      </w:r>
      <w:r w:rsidR="00D13272">
        <w:rPr>
          <w:rFonts w:ascii="Times New Roman" w:eastAsia="Arial" w:hAnsi="Times New Roman" w:cs="Times New Roman"/>
          <w:sz w:val="28"/>
          <w:szCs w:val="28"/>
          <w:lang w:val="en-US"/>
        </w:rPr>
        <w:t>N</w:t>
      </w:r>
      <w:r w:rsidR="00D13272" w:rsidRPr="00C45A42">
        <w:rPr>
          <w:rFonts w:ascii="Times New Roman" w:eastAsia="Arial" w:hAnsi="Times New Roman" w:cs="Times New Roman"/>
          <w:sz w:val="28"/>
          <w:szCs w:val="28"/>
        </w:rPr>
        <w:t>gân hàng Nhà nước</w:t>
      </w:r>
      <w:r>
        <w:rPr>
          <w:rFonts w:ascii="Times New Roman" w:eastAsia="Calibri" w:hAnsi="Times New Roman" w:cs="Times New Roman"/>
          <w:color w:val="000000"/>
          <w:sz w:val="28"/>
          <w:szCs w:val="26"/>
          <w:lang w:val="pt-BR"/>
        </w:rPr>
        <w:t>, nhưng với thời hạn tối đa không quá 10 năm; (iv)</w:t>
      </w:r>
      <w:r w:rsidR="008A31A3">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 xml:space="preserve">Trái phiếu đặc biệt phải được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trích lập dự phòng hàng năm</w:t>
      </w:r>
      <w:r w:rsidR="008A31A3">
        <w:rPr>
          <w:rFonts w:ascii="Times New Roman" w:eastAsia="Calibri" w:hAnsi="Times New Roman" w:cs="Times New Roman"/>
          <w:color w:val="000000"/>
          <w:sz w:val="28"/>
          <w:szCs w:val="26"/>
          <w:lang w:val="pt-BR"/>
        </w:rPr>
        <w:t>;</w:t>
      </w:r>
      <w:r>
        <w:rPr>
          <w:rFonts w:ascii="Times New Roman" w:eastAsia="Calibri" w:hAnsi="Times New Roman" w:cs="Times New Roman"/>
          <w:color w:val="000000"/>
          <w:sz w:val="28"/>
          <w:szCs w:val="26"/>
          <w:lang w:val="pt-BR"/>
        </w:rPr>
        <w:t xml:space="preserve"> (v)</w:t>
      </w:r>
      <w:r w:rsidR="008A31A3">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 xml:space="preserve">Trái phiếu đặc biệt đến hạn thanh toán nhưng VAMC vẫn chưa thu đủ khoản nợ xấu (bao gồm gốc, lãi và các nghĩa vụ tài chính khác liên quan đến khoản nợ) thì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bán nợ vẫn phải sử dụng trái phiếu đặc biệt tương ứng để mua lại khoản nợ xấu từ VAMC theo giá trị ghi sổ số dư nợ gốc đang theo dõi trên sổ sách của VAMC.</w:t>
      </w:r>
    </w:p>
    <w:p w:rsidR="000752EC" w:rsidRDefault="000752EC" w:rsidP="000752EC">
      <w:pPr>
        <w:widowControl w:val="0"/>
        <w:spacing w:before="120" w:after="120" w:line="240" w:lineRule="auto"/>
        <w:ind w:firstLine="720"/>
        <w:jc w:val="both"/>
        <w:rPr>
          <w:rFonts w:ascii="Times New Roman" w:eastAsia="Calibri" w:hAnsi="Times New Roman" w:cs="Times New Roman"/>
          <w:sz w:val="28"/>
          <w:szCs w:val="26"/>
          <w:lang w:val="pt-BR"/>
        </w:rPr>
      </w:pPr>
      <w:r>
        <w:rPr>
          <w:rFonts w:ascii="Times New Roman" w:eastAsia="Calibri" w:hAnsi="Times New Roman" w:cs="Times New Roman"/>
          <w:sz w:val="28"/>
          <w:lang w:val="pt-BR"/>
        </w:rPr>
        <w:t>Mua nợ xấu/nợ theo giá trị thị trường bằng nguồn vốn không phải trái phiếu đặc biệt: Đó là việc VAMC mua các khoản nợ xấu từ các ngân hàng theo đúng giá trị thị trường của khoản nợ. Giá trị thị trường chính là giá trị thực tế của khoản nợ có thể giao dịch trên thị trường được xác định thông qua một công ty định giá độc lập, đồng thời giá trị mua nợ còn được cân nhắc giữa các yếu tố lãi/lỗ: lãi/lỗ là các khoản dự kiến thu được hoặc mất đi trong tương lai. Khi mua nợ xấu theo hình thức này, VAMC cần phải tính đến các chi phí rủi ro có thể phát sinh liên quan đến công việc cần thực hiện sau chuyển nhượng</w:t>
      </w:r>
      <w:r>
        <w:rPr>
          <w:rFonts w:ascii="Times New Roman" w:eastAsia="Calibri" w:hAnsi="Times New Roman" w:cs="Times New Roman"/>
          <w:sz w:val="28"/>
          <w:szCs w:val="26"/>
          <w:lang w:val="pt-BR"/>
        </w:rPr>
        <w:t>. Ưu điểm chính của biện pháp này</w:t>
      </w:r>
      <w:r w:rsidR="008A31A3">
        <w:rPr>
          <w:rFonts w:ascii="Times New Roman" w:eastAsia="Calibri" w:hAnsi="Times New Roman" w:cs="Times New Roman"/>
          <w:sz w:val="28"/>
          <w:szCs w:val="26"/>
          <w:lang w:val="pt-BR"/>
        </w:rPr>
        <w:t xml:space="preserve"> là đ</w:t>
      </w:r>
      <w:r>
        <w:rPr>
          <w:rFonts w:ascii="Times New Roman" w:eastAsia="Calibri" w:hAnsi="Times New Roman" w:cs="Times New Roman"/>
          <w:sz w:val="28"/>
          <w:szCs w:val="26"/>
          <w:lang w:val="pt-BR"/>
        </w:rPr>
        <w:t xml:space="preserve">ảm bảo hài hoà lợi ích, giải quyết dứt điểm các giao dịch sau thoả thuận. Tuy nhiên, nhược điểm là đòi hỏi các điều kiện khách quan của thị trường, minh bạch thông tin và quốc gia cần có thị trường mua bán nợ </w:t>
      </w:r>
      <w:r>
        <w:rPr>
          <w:rFonts w:ascii="Times New Roman" w:eastAsia="Calibri" w:hAnsi="Times New Roman" w:cs="Times New Roman"/>
          <w:sz w:val="28"/>
          <w:szCs w:val="26"/>
          <w:lang w:val="pt-BR"/>
        </w:rPr>
        <w:lastRenderedPageBreak/>
        <w:t xml:space="preserve">cũng như các thị trường tài sản vận hành hiệu quả. </w:t>
      </w:r>
    </w:p>
    <w:p w:rsidR="000752EC" w:rsidRDefault="000752EC" w:rsidP="000752EC">
      <w:pPr>
        <w:widowControl w:val="0"/>
        <w:spacing w:before="120" w:after="120" w:line="240" w:lineRule="auto"/>
        <w:ind w:firstLine="720"/>
        <w:jc w:val="both"/>
        <w:rPr>
          <w:rFonts w:ascii="Times New Roman" w:eastAsia="Calibri" w:hAnsi="Times New Roman" w:cs="Times New Roman"/>
          <w:color w:val="000000"/>
          <w:sz w:val="28"/>
          <w:szCs w:val="26"/>
          <w:lang w:val="pt-BR"/>
        </w:rPr>
      </w:pPr>
      <w:r>
        <w:rPr>
          <w:rFonts w:ascii="Times New Roman" w:eastAsia="Calibri" w:hAnsi="Times New Roman" w:cs="Times New Roman"/>
          <w:sz w:val="28"/>
          <w:szCs w:val="26"/>
          <w:lang w:val="pt-BR"/>
        </w:rPr>
        <w:t>Hoạt động xử lý nợ xấu của VAMC</w:t>
      </w:r>
      <w:r>
        <w:rPr>
          <w:rFonts w:ascii="Times New Roman" w:eastAsia="Calibri" w:hAnsi="Times New Roman" w:cs="Times New Roman"/>
          <w:color w:val="000000"/>
          <w:sz w:val="28"/>
          <w:szCs w:val="26"/>
          <w:lang w:val="pt-BR"/>
        </w:rPr>
        <w:t xml:space="preserve">, </w:t>
      </w:r>
      <w:r w:rsidR="008A31A3">
        <w:rPr>
          <w:rFonts w:ascii="Times New Roman" w:eastAsia="Calibri" w:hAnsi="Times New Roman" w:cs="Times New Roman"/>
          <w:color w:val="000000"/>
          <w:sz w:val="28"/>
          <w:szCs w:val="26"/>
          <w:lang w:val="pt-BR"/>
        </w:rPr>
        <w:t>t</w:t>
      </w:r>
      <w:r>
        <w:rPr>
          <w:rFonts w:ascii="Times New Roman" w:eastAsia="Calibri" w:hAnsi="Times New Roman" w:cs="Times New Roman"/>
          <w:color w:val="000000"/>
          <w:sz w:val="28"/>
          <w:szCs w:val="26"/>
          <w:lang w:val="pt-BR"/>
        </w:rPr>
        <w:t xml:space="preserve">heo quy định tại Nghị định số 53/2013/NĐ-CP và Thông tư số 19/2013/TT-NHNN, sau khi mua nợ VAMC được thực hiện 7 biện pháp sau để xử lý thu hồi nợ: </w:t>
      </w:r>
    </w:p>
    <w:p w:rsidR="000752EC" w:rsidRPr="00376C5A" w:rsidRDefault="000752EC" w:rsidP="00376C5A">
      <w:pPr>
        <w:pStyle w:val="ListParagraph"/>
        <w:widowControl w:val="0"/>
        <w:numPr>
          <w:ilvl w:val="0"/>
          <w:numId w:val="2"/>
        </w:numPr>
        <w:spacing w:before="120" w:after="120" w:line="240" w:lineRule="auto"/>
        <w:ind w:left="0" w:firstLine="567"/>
        <w:jc w:val="both"/>
        <w:rPr>
          <w:rFonts w:ascii="Times New Roman" w:eastAsia="Calibri" w:hAnsi="Times New Roman" w:cs="Times New Roman"/>
          <w:color w:val="000000"/>
          <w:sz w:val="28"/>
          <w:szCs w:val="26"/>
          <w:lang w:val="pt-BR"/>
        </w:rPr>
      </w:pPr>
      <w:r w:rsidRPr="00376C5A">
        <w:rPr>
          <w:rFonts w:ascii="Times New Roman" w:eastAsia="Calibri" w:hAnsi="Times New Roman" w:cs="Times New Roman"/>
          <w:color w:val="000000"/>
          <w:sz w:val="28"/>
          <w:szCs w:val="26"/>
          <w:lang w:val="pt-BR"/>
        </w:rPr>
        <w:t xml:space="preserve">Tổ chức đôn đốc, yêu cầu trả nợ, thu nợ từ khách hàng vay, bên có nghĩa vụ trả nợ và bên bảo đảm; </w:t>
      </w:r>
    </w:p>
    <w:p w:rsidR="000752EC" w:rsidRPr="00376C5A" w:rsidRDefault="000752EC" w:rsidP="00376C5A">
      <w:pPr>
        <w:pStyle w:val="ListParagraph"/>
        <w:widowControl w:val="0"/>
        <w:numPr>
          <w:ilvl w:val="0"/>
          <w:numId w:val="2"/>
        </w:numPr>
        <w:spacing w:before="120" w:after="120" w:line="240" w:lineRule="auto"/>
        <w:ind w:left="0" w:firstLine="567"/>
        <w:jc w:val="both"/>
        <w:rPr>
          <w:rFonts w:ascii="Times New Roman" w:eastAsia="Calibri" w:hAnsi="Times New Roman" w:cs="Times New Roman"/>
          <w:color w:val="000000"/>
          <w:sz w:val="28"/>
          <w:szCs w:val="26"/>
          <w:lang w:val="pt-BR"/>
        </w:rPr>
      </w:pPr>
      <w:r w:rsidRPr="00376C5A">
        <w:rPr>
          <w:rFonts w:ascii="Times New Roman" w:eastAsia="Calibri" w:hAnsi="Times New Roman" w:cs="Times New Roman"/>
          <w:color w:val="000000"/>
          <w:sz w:val="28"/>
          <w:szCs w:val="26"/>
          <w:lang w:val="pt-BR"/>
        </w:rPr>
        <w:t xml:space="preserve">Cơ cấu lại khoản nợ xấu: là việc thực hiện điều chỉnh kỳ hạn trả nợ; gia hạn nợ; miễn, giảm lãi phạt, phí và lãi vay đã quá hạn thanh toán; điều chỉnh lãi suất của khoản nợ xấu. VAMC được xem xét cơ cấu lại nợ trên cơ sở đề nghị bằng văn bản của khách hàng, đồng thời khách hàng phải không trong quá trình giải thể, phá sản, thu hồi giấy phép hoạt động. Trong trường hợp điều chỉnh lãi suất, VAMC quyết định và chịu trách nhiệm về việc điều chỉnh lãi suất đối với từng khoản nợ xấu đã mua (cả </w:t>
      </w:r>
      <w:r w:rsidR="008A31A3">
        <w:rPr>
          <w:rFonts w:ascii="Times New Roman" w:eastAsia="Calibri" w:hAnsi="Times New Roman" w:cs="Times New Roman"/>
          <w:color w:val="000000"/>
          <w:sz w:val="28"/>
          <w:szCs w:val="26"/>
          <w:lang w:val="pt-BR"/>
        </w:rPr>
        <w:t>trái phiếu đặc biệt</w:t>
      </w:r>
      <w:r w:rsidR="008A31A3" w:rsidRPr="00376C5A">
        <w:rPr>
          <w:rFonts w:ascii="Times New Roman" w:eastAsia="Calibri" w:hAnsi="Times New Roman" w:cs="Times New Roman"/>
          <w:color w:val="000000"/>
          <w:sz w:val="28"/>
          <w:szCs w:val="26"/>
          <w:lang w:val="pt-BR"/>
        </w:rPr>
        <w:t xml:space="preserve"> </w:t>
      </w:r>
      <w:r w:rsidRPr="00376C5A">
        <w:rPr>
          <w:rFonts w:ascii="Times New Roman" w:eastAsia="Calibri" w:hAnsi="Times New Roman" w:cs="Times New Roman"/>
          <w:color w:val="000000"/>
          <w:sz w:val="28"/>
          <w:szCs w:val="26"/>
          <w:lang w:val="pt-BR"/>
        </w:rPr>
        <w:t xml:space="preserve">và thị trường), mức lãi suất điều chỉnh phải phủ hợp với khả năng trả nợ của khách hàng, và mức lãi suất tham chiếu hàng quý mà VAMC công bố. Mức lãi suất tham chiếu là mức lãi suất không vượt quá lãi suất huy động bình quân kỳ hạn 12 tháng của bốn ngân hàng gồm Agribank, BIDV, Vietcombank, Vietinbank. Ngoài ra, VAMC được xem xét giảm một phần hoặc miễn toàn bộ tiền lãi quá hạn thanh toán trường hợp khách hàng đã trả toàn bộ nợ gốc của tất cả các khoản nợ xấu hoặc khách hàng hợp tác tốt với VAMC, </w:t>
      </w:r>
      <w:r w:rsidR="00D13272" w:rsidRPr="00C45A42">
        <w:rPr>
          <w:rFonts w:ascii="Times New Roman" w:eastAsia="Arial" w:hAnsi="Times New Roman" w:cs="Times New Roman"/>
          <w:sz w:val="28"/>
          <w:szCs w:val="28"/>
        </w:rPr>
        <w:t>tổ chức tín dụng</w:t>
      </w:r>
      <w:r w:rsidRPr="00376C5A">
        <w:rPr>
          <w:rFonts w:ascii="Times New Roman" w:eastAsia="Calibri" w:hAnsi="Times New Roman" w:cs="Times New Roman"/>
          <w:color w:val="000000"/>
          <w:sz w:val="28"/>
          <w:szCs w:val="26"/>
          <w:lang w:val="pt-BR"/>
        </w:rPr>
        <w:t xml:space="preserve"> được ủy quyền. Đối với việc xem xét cơ cấu lại thời giạn trả nợ, VAMC sẽ thực hiện bi</w:t>
      </w:r>
      <w:r w:rsidR="008A31A3">
        <w:rPr>
          <w:rFonts w:ascii="Times New Roman" w:eastAsia="Calibri" w:hAnsi="Times New Roman" w:cs="Times New Roman"/>
          <w:color w:val="000000"/>
          <w:sz w:val="28"/>
          <w:szCs w:val="26"/>
          <w:lang w:val="pt-BR"/>
        </w:rPr>
        <w:t>ệ</w:t>
      </w:r>
      <w:r w:rsidRPr="00376C5A">
        <w:rPr>
          <w:rFonts w:ascii="Times New Roman" w:eastAsia="Calibri" w:hAnsi="Times New Roman" w:cs="Times New Roman"/>
          <w:color w:val="000000"/>
          <w:sz w:val="28"/>
          <w:szCs w:val="26"/>
          <w:lang w:val="pt-BR"/>
        </w:rPr>
        <w:t>n pháp này nếu khách hàng có phương án trả nợ khả thi, hoặc có khả năng trả nợ trong kỳ tiếp theo sau khi cơ cấu (đối với điều chỉnh kỳ hạn trả nợ), hoặc có khả năng trả hết nợ trong một khoảng thời gian nhất định sau thời hạn trả nợ mới (đối với gia hạn nợ).</w:t>
      </w:r>
    </w:p>
    <w:p w:rsidR="000752EC" w:rsidRPr="00376C5A" w:rsidRDefault="000752EC" w:rsidP="00376C5A">
      <w:pPr>
        <w:pStyle w:val="ListParagraph"/>
        <w:widowControl w:val="0"/>
        <w:numPr>
          <w:ilvl w:val="0"/>
          <w:numId w:val="2"/>
        </w:numPr>
        <w:spacing w:before="120" w:after="120" w:line="240" w:lineRule="auto"/>
        <w:ind w:left="0" w:firstLine="567"/>
        <w:jc w:val="both"/>
        <w:rPr>
          <w:rFonts w:ascii="Times New Roman" w:eastAsia="Calibri" w:hAnsi="Times New Roman" w:cs="Times New Roman"/>
          <w:sz w:val="28"/>
          <w:szCs w:val="26"/>
          <w:lang w:val="pt-BR"/>
        </w:rPr>
      </w:pPr>
      <w:r w:rsidRPr="00376C5A">
        <w:rPr>
          <w:rFonts w:ascii="Times New Roman" w:eastAsia="Calibri" w:hAnsi="Times New Roman" w:cs="Times New Roman"/>
          <w:color w:val="000000"/>
          <w:sz w:val="28"/>
          <w:szCs w:val="26"/>
          <w:lang w:val="pt-BR"/>
        </w:rPr>
        <w:t>Chuyển nợ thành vốn góp, vốn cổ phần để tham gia cơ cấu lại tài chính và hoạt động của khách hàng vay</w:t>
      </w:r>
      <w:r w:rsidR="00F15100">
        <w:rPr>
          <w:rFonts w:ascii="Times New Roman" w:eastAsia="Calibri" w:hAnsi="Times New Roman" w:cs="Times New Roman"/>
          <w:color w:val="000000"/>
          <w:sz w:val="28"/>
          <w:szCs w:val="26"/>
          <w:lang w:val="pt-BR"/>
        </w:rPr>
        <w:t xml:space="preserve">. </w:t>
      </w:r>
      <w:r w:rsidRPr="00376C5A">
        <w:rPr>
          <w:rFonts w:ascii="Times New Roman" w:eastAsia="Calibri" w:hAnsi="Times New Roman" w:cs="Times New Roman"/>
          <w:sz w:val="28"/>
          <w:lang w:val="pt-BR"/>
        </w:rPr>
        <w:t xml:space="preserve">Với hình thức này, VAMC được chuyển đổi nợ (nợ gốc và lãi) thành cổ phần của doanh nghiệp. </w:t>
      </w:r>
      <w:r w:rsidRPr="00376C5A">
        <w:rPr>
          <w:rFonts w:ascii="Times New Roman" w:eastAsia="Calibri" w:hAnsi="Times New Roman" w:cs="Times New Roman"/>
          <w:sz w:val="28"/>
          <w:szCs w:val="26"/>
          <w:lang w:val="pt-BR"/>
        </w:rPr>
        <w:t xml:space="preserve">Do đó, VAMC trở thành cổ đông của các các doanh nghiệp, thực hiện quyền cổ đông theo pháp luật và tham gia vào các quyết định quan trọng của doanh nghiệp và có thể tham gia hoặc không tham gia vào hoạt động quản lý sản xuất kinh doanh của doanh nghiệp. </w:t>
      </w:r>
      <w:r w:rsidRPr="00376C5A">
        <w:rPr>
          <w:rFonts w:ascii="Times New Roman" w:eastAsia="Calibri" w:hAnsi="Times New Roman" w:cs="Times New Roman"/>
          <w:sz w:val="28"/>
          <w:lang w:val="pt-BR"/>
        </w:rPr>
        <w:t>Ưu điểm chính của biện pháp này là giá trị thu hồi có khả năng được đảm bảo ở mức cao cho VAMC nhưng V</w:t>
      </w:r>
      <w:r w:rsidRPr="00376C5A">
        <w:rPr>
          <w:rFonts w:ascii="Times New Roman" w:eastAsia="Calibri" w:hAnsi="Times New Roman" w:cs="Times New Roman"/>
          <w:sz w:val="28"/>
          <w:szCs w:val="26"/>
          <w:lang w:val="pt-BR"/>
        </w:rPr>
        <w:t>AMC phải có năng lực nhất định về nguồn vốn và nhân lực.</w:t>
      </w:r>
    </w:p>
    <w:p w:rsidR="000752EC" w:rsidRDefault="000752EC" w:rsidP="00376C5A">
      <w:pPr>
        <w:pStyle w:val="ListParagraph"/>
        <w:widowControl w:val="0"/>
        <w:numPr>
          <w:ilvl w:val="0"/>
          <w:numId w:val="2"/>
        </w:numPr>
        <w:spacing w:before="120" w:after="120" w:line="240" w:lineRule="auto"/>
        <w:ind w:left="0" w:firstLine="567"/>
        <w:jc w:val="both"/>
        <w:rPr>
          <w:rFonts w:ascii="Times New Roman" w:eastAsia="Calibri" w:hAnsi="Times New Roman" w:cs="Times New Roman"/>
          <w:color w:val="000000"/>
          <w:sz w:val="28"/>
          <w:szCs w:val="26"/>
          <w:lang w:val="pt-BR"/>
        </w:rPr>
      </w:pPr>
      <w:r>
        <w:rPr>
          <w:rFonts w:ascii="Times New Roman" w:eastAsia="Calibri" w:hAnsi="Times New Roman" w:cs="Times New Roman"/>
          <w:color w:val="000000"/>
          <w:sz w:val="28"/>
          <w:szCs w:val="26"/>
          <w:lang w:val="pt-BR"/>
        </w:rPr>
        <w:t>Nhận</w:t>
      </w:r>
      <w:r w:rsidR="00F15100">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tài sản bảo đảm của khoản nợ, thu hồi, thu giữ và xử lý tài sản bảo đảm. Trong giai đoạn 2013-2020, VAMC mới chỉ thực hiện được việc thu giữ và xử lý tài sản. Có một số trường hợp cụ thể như sau</w:t>
      </w:r>
      <w:r w:rsidR="00F15100">
        <w:rPr>
          <w:rFonts w:ascii="Times New Roman" w:eastAsia="Calibri" w:hAnsi="Times New Roman" w:cs="Times New Roman"/>
          <w:color w:val="000000"/>
          <w:sz w:val="28"/>
          <w:szCs w:val="26"/>
          <w:lang w:val="pt-BR"/>
        </w:rPr>
        <w:t xml:space="preserve">: </w:t>
      </w:r>
      <w:r>
        <w:rPr>
          <w:rFonts w:ascii="Times New Roman" w:eastAsia="Calibri" w:hAnsi="Times New Roman" w:cs="Times New Roman"/>
          <w:color w:val="000000"/>
          <w:sz w:val="28"/>
          <w:szCs w:val="26"/>
          <w:lang w:val="pt-BR"/>
        </w:rPr>
        <w:t>Thứ nhất, đối với các tài sản bảo đảm được thu giữ, VAMC có quyền bán đấu giá tài sản mà không cần sự đồng ý của bên bảo đảm, chỉ cần VAMC thông báo bằng văn bản cho bên bảo đảm về việc bán đấu giá trong vòng tối đa 10 ngày trước ngày tổ chức bán đấu giá</w:t>
      </w:r>
      <w:r w:rsidR="00F15100">
        <w:rPr>
          <w:rFonts w:ascii="Times New Roman" w:eastAsia="Calibri" w:hAnsi="Times New Roman" w:cs="Times New Roman"/>
          <w:color w:val="000000"/>
          <w:sz w:val="28"/>
          <w:szCs w:val="26"/>
          <w:lang w:val="pt-BR"/>
        </w:rPr>
        <w:t>; T</w:t>
      </w:r>
      <w:r>
        <w:rPr>
          <w:rFonts w:ascii="Times New Roman" w:eastAsia="Calibri" w:hAnsi="Times New Roman" w:cs="Times New Roman"/>
          <w:color w:val="000000"/>
          <w:sz w:val="28"/>
          <w:szCs w:val="26"/>
          <w:lang w:val="pt-BR"/>
        </w:rPr>
        <w:t xml:space="preserve">hứ hai, đối với khoản nợ mua bằng </w:t>
      </w:r>
      <w:r w:rsidR="00F15100">
        <w:rPr>
          <w:rFonts w:ascii="Times New Roman" w:eastAsia="Calibri" w:hAnsi="Times New Roman" w:cs="Times New Roman"/>
          <w:color w:val="000000"/>
          <w:sz w:val="28"/>
          <w:szCs w:val="26"/>
          <w:lang w:val="pt-BR"/>
        </w:rPr>
        <w:t xml:space="preserve">trái phiếu đặc biệt </w:t>
      </w:r>
      <w:r>
        <w:rPr>
          <w:rFonts w:ascii="Times New Roman" w:eastAsia="Calibri" w:hAnsi="Times New Roman" w:cs="Times New Roman"/>
          <w:color w:val="000000"/>
          <w:sz w:val="28"/>
          <w:szCs w:val="26"/>
          <w:lang w:val="pt-BR"/>
        </w:rPr>
        <w:t xml:space="preserve">cần thêm một điều kiện trước khi VAMC xử lý tài sản bảo đảm là VAMC phải trao </w:t>
      </w:r>
      <w:r>
        <w:rPr>
          <w:rFonts w:ascii="Times New Roman" w:eastAsia="Calibri" w:hAnsi="Times New Roman" w:cs="Times New Roman"/>
          <w:color w:val="000000"/>
          <w:sz w:val="28"/>
          <w:szCs w:val="26"/>
          <w:lang w:val="pt-BR"/>
        </w:rPr>
        <w:lastRenderedPageBreak/>
        <w:t xml:space="preserve">đổi với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bán nợ về giá bán tài sản trong trường hợp bán thỏa thuận, giá khởi điểm trong trường hợp bán đấu giá. Trường hợp trong 20 ngày </w:t>
      </w:r>
      <w:r w:rsidR="00D13272" w:rsidRPr="00C45A42">
        <w:rPr>
          <w:rFonts w:ascii="Times New Roman" w:eastAsia="Arial" w:hAnsi="Times New Roman" w:cs="Times New Roman"/>
          <w:sz w:val="28"/>
          <w:szCs w:val="28"/>
        </w:rPr>
        <w:t>tổ chức tín dụng</w:t>
      </w:r>
      <w:r>
        <w:rPr>
          <w:rFonts w:ascii="Times New Roman" w:eastAsia="Calibri" w:hAnsi="Times New Roman" w:cs="Times New Roman"/>
          <w:color w:val="000000"/>
          <w:sz w:val="28"/>
          <w:szCs w:val="26"/>
          <w:lang w:val="pt-BR"/>
        </w:rPr>
        <w:t xml:space="preserve"> không có ý kiến thì VAMC được quyết định và chịu trách nhiệm đối với việc xử lý tài sản này.</w:t>
      </w:r>
    </w:p>
    <w:p w:rsidR="000752EC" w:rsidRPr="00376C5A" w:rsidRDefault="000752EC" w:rsidP="00376C5A">
      <w:pPr>
        <w:pStyle w:val="ListParagraph"/>
        <w:widowControl w:val="0"/>
        <w:numPr>
          <w:ilvl w:val="0"/>
          <w:numId w:val="2"/>
        </w:numPr>
        <w:spacing w:before="120" w:after="120" w:line="240" w:lineRule="auto"/>
        <w:ind w:left="0" w:firstLine="567"/>
        <w:jc w:val="both"/>
        <w:rPr>
          <w:rFonts w:ascii="Times New Roman" w:eastAsia="Calibri" w:hAnsi="Times New Roman" w:cs="Times New Roman"/>
          <w:i/>
          <w:color w:val="000000"/>
          <w:sz w:val="28"/>
          <w:szCs w:val="26"/>
          <w:lang w:val="pt-BR"/>
        </w:rPr>
      </w:pPr>
      <w:r w:rsidRPr="00376C5A">
        <w:rPr>
          <w:rFonts w:ascii="Times New Roman" w:eastAsia="Calibri" w:hAnsi="Times New Roman" w:cs="Times New Roman"/>
          <w:color w:val="000000"/>
          <w:sz w:val="28"/>
          <w:szCs w:val="26"/>
          <w:lang w:val="pt-BR"/>
        </w:rPr>
        <w:t>Bán nợ: Theo quy định tại Thông tư số 19/2013/TT-NHNN,</w:t>
      </w:r>
      <w:r w:rsidRPr="00376C5A">
        <w:rPr>
          <w:rFonts w:ascii="Times New Roman" w:eastAsia="Calibri" w:hAnsi="Times New Roman" w:cs="Times New Roman"/>
          <w:i/>
          <w:color w:val="000000"/>
          <w:sz w:val="28"/>
          <w:szCs w:val="26"/>
          <w:lang w:val="pt-BR"/>
        </w:rPr>
        <w:t xml:space="preserve"> </w:t>
      </w:r>
      <w:r w:rsidRPr="00376C5A">
        <w:rPr>
          <w:rFonts w:ascii="Times New Roman" w:eastAsia="Calibri" w:hAnsi="Times New Roman" w:cs="Times New Roman"/>
          <w:color w:val="000000"/>
          <w:sz w:val="28"/>
          <w:szCs w:val="26"/>
          <w:lang w:val="pt-BR"/>
        </w:rPr>
        <w:t xml:space="preserve">VAMC được bán khoản nợ xấu cho các tổ chức, cá nhân có nhu cầu mua bán nợ hoặc bán lại cho chính </w:t>
      </w:r>
      <w:r w:rsidR="00D13272" w:rsidRPr="00C45A42">
        <w:rPr>
          <w:rFonts w:ascii="Times New Roman" w:eastAsia="Arial" w:hAnsi="Times New Roman" w:cs="Times New Roman"/>
          <w:sz w:val="28"/>
          <w:szCs w:val="28"/>
        </w:rPr>
        <w:t xml:space="preserve">tổ chức tín dụng </w:t>
      </w:r>
      <w:r w:rsidRPr="00376C5A">
        <w:rPr>
          <w:rFonts w:ascii="Times New Roman" w:eastAsia="Calibri" w:hAnsi="Times New Roman" w:cs="Times New Roman"/>
          <w:color w:val="000000"/>
          <w:sz w:val="28"/>
          <w:szCs w:val="26"/>
          <w:lang w:val="pt-BR"/>
        </w:rPr>
        <w:t xml:space="preserve">bán nợ cho VAMC. Khi bán nợ cho các tổ chức, cá nhân khác, VAMC bán khoản nợ xấu theo phương thức đấu giá, chào giá cạnh tranh nhưng phải thỏa thuận với </w:t>
      </w:r>
      <w:r w:rsidR="00D13272" w:rsidRPr="00C45A42">
        <w:rPr>
          <w:rFonts w:ascii="Times New Roman" w:eastAsia="Arial" w:hAnsi="Times New Roman" w:cs="Times New Roman"/>
          <w:sz w:val="28"/>
          <w:szCs w:val="28"/>
        </w:rPr>
        <w:t>tổ chức tín dụng</w:t>
      </w:r>
      <w:r w:rsidRPr="00376C5A">
        <w:rPr>
          <w:rFonts w:ascii="Times New Roman" w:eastAsia="Calibri" w:hAnsi="Times New Roman" w:cs="Times New Roman"/>
          <w:color w:val="000000"/>
          <w:sz w:val="28"/>
          <w:szCs w:val="26"/>
          <w:lang w:val="pt-BR"/>
        </w:rPr>
        <w:t xml:space="preserve"> bán nợ về điều kiện bán khoản nợ xấu (trong đó bao gồm giá khởi điểm hoặc giá chào bán). Trong trường hợp bán đấu giá hoặc chào giá cạnh tranh một lần không thành thì VAMC mới được thống nhất lại với </w:t>
      </w:r>
      <w:r w:rsidR="00D13272" w:rsidRPr="00C45A42">
        <w:rPr>
          <w:rFonts w:ascii="Times New Roman" w:eastAsia="Arial" w:hAnsi="Times New Roman" w:cs="Times New Roman"/>
          <w:sz w:val="28"/>
          <w:szCs w:val="28"/>
        </w:rPr>
        <w:t>tổ chức tín dụng</w:t>
      </w:r>
      <w:r w:rsidRPr="00376C5A">
        <w:rPr>
          <w:rFonts w:ascii="Times New Roman" w:eastAsia="Calibri" w:hAnsi="Times New Roman" w:cs="Times New Roman"/>
          <w:color w:val="000000"/>
          <w:sz w:val="28"/>
          <w:szCs w:val="26"/>
          <w:lang w:val="pt-BR"/>
        </w:rPr>
        <w:t xml:space="preserve"> về phương thức bán nợ trong đó báo gồm bán theo phương thức thỏa thuận. Trường hợp, VAMC không thống nhất được với </w:t>
      </w:r>
      <w:r w:rsidR="00D13272" w:rsidRPr="00C45A42">
        <w:rPr>
          <w:rFonts w:ascii="Times New Roman" w:eastAsia="Arial" w:hAnsi="Times New Roman" w:cs="Times New Roman"/>
          <w:sz w:val="28"/>
          <w:szCs w:val="28"/>
        </w:rPr>
        <w:t>tổ chức tín dụng</w:t>
      </w:r>
      <w:r w:rsidRPr="00376C5A">
        <w:rPr>
          <w:rFonts w:ascii="Times New Roman" w:eastAsia="Calibri" w:hAnsi="Times New Roman" w:cs="Times New Roman"/>
          <w:color w:val="000000"/>
          <w:sz w:val="28"/>
          <w:szCs w:val="26"/>
          <w:lang w:val="pt-BR"/>
        </w:rPr>
        <w:t xml:space="preserve"> bán nợ thì phải bán khoản nợ thông qua phương thức đấu giá. Đối với việc bán lại nợ cho chính </w:t>
      </w:r>
      <w:r w:rsidR="00D13272" w:rsidRPr="00C45A42">
        <w:rPr>
          <w:rFonts w:ascii="Times New Roman" w:eastAsia="Arial" w:hAnsi="Times New Roman" w:cs="Times New Roman"/>
          <w:sz w:val="28"/>
          <w:szCs w:val="28"/>
        </w:rPr>
        <w:t>tổ chức tín dụng</w:t>
      </w:r>
      <w:r w:rsidRPr="00376C5A">
        <w:rPr>
          <w:rFonts w:ascii="Times New Roman" w:eastAsia="Calibri" w:hAnsi="Times New Roman" w:cs="Times New Roman"/>
          <w:color w:val="000000"/>
          <w:sz w:val="28"/>
          <w:szCs w:val="26"/>
          <w:lang w:val="pt-BR"/>
        </w:rPr>
        <w:t xml:space="preserve"> bán nợ</w:t>
      </w:r>
      <w:r w:rsidR="00F15100">
        <w:rPr>
          <w:rFonts w:ascii="Times New Roman" w:eastAsia="Calibri" w:hAnsi="Times New Roman" w:cs="Times New Roman"/>
          <w:color w:val="000000"/>
          <w:sz w:val="28"/>
          <w:szCs w:val="26"/>
          <w:lang w:val="pt-BR"/>
        </w:rPr>
        <w:t xml:space="preserve">, </w:t>
      </w:r>
      <w:r w:rsidRPr="00376C5A">
        <w:rPr>
          <w:rFonts w:ascii="Times New Roman" w:eastAsia="Calibri" w:hAnsi="Times New Roman" w:cs="Times New Roman"/>
          <w:color w:val="000000"/>
          <w:sz w:val="28"/>
          <w:szCs w:val="26"/>
          <w:lang w:val="pt-BR"/>
        </w:rPr>
        <w:t xml:space="preserve">VAMC được bán lại trong trường hợp </w:t>
      </w:r>
      <w:r w:rsidR="00F15100">
        <w:rPr>
          <w:rFonts w:ascii="Times New Roman" w:eastAsia="Calibri" w:hAnsi="Times New Roman" w:cs="Times New Roman"/>
          <w:color w:val="000000"/>
          <w:sz w:val="28"/>
          <w:szCs w:val="26"/>
          <w:lang w:val="pt-BR"/>
        </w:rPr>
        <w:t>trái phiếu đặc biệt</w:t>
      </w:r>
      <w:r w:rsidR="00F15100" w:rsidRPr="00376C5A">
        <w:rPr>
          <w:rFonts w:ascii="Times New Roman" w:eastAsia="Calibri" w:hAnsi="Times New Roman" w:cs="Times New Roman"/>
          <w:color w:val="000000"/>
          <w:sz w:val="28"/>
          <w:szCs w:val="26"/>
          <w:lang w:val="pt-BR"/>
        </w:rPr>
        <w:t xml:space="preserve"> </w:t>
      </w:r>
      <w:r w:rsidRPr="00376C5A">
        <w:rPr>
          <w:rFonts w:ascii="Times New Roman" w:eastAsia="Calibri" w:hAnsi="Times New Roman" w:cs="Times New Roman"/>
          <w:color w:val="000000"/>
          <w:sz w:val="28"/>
          <w:szCs w:val="26"/>
          <w:lang w:val="pt-BR"/>
        </w:rPr>
        <w:t xml:space="preserve">chưa đến hạn thanh toán theo nguyên tắc thỏa thuận về điều kiện và giá mua, bán nợ. </w:t>
      </w:r>
    </w:p>
    <w:p w:rsidR="000752EC" w:rsidRPr="00376C5A" w:rsidRDefault="000752EC" w:rsidP="00376C5A">
      <w:pPr>
        <w:pStyle w:val="ListParagraph"/>
        <w:widowControl w:val="0"/>
        <w:numPr>
          <w:ilvl w:val="0"/>
          <w:numId w:val="2"/>
        </w:numPr>
        <w:spacing w:before="120" w:after="120" w:line="240" w:lineRule="auto"/>
        <w:ind w:left="0" w:firstLine="426"/>
        <w:jc w:val="both"/>
        <w:rPr>
          <w:rFonts w:ascii="Times New Roman" w:eastAsia="Calibri" w:hAnsi="Times New Roman" w:cs="Times New Roman"/>
          <w:color w:val="000000"/>
          <w:sz w:val="28"/>
          <w:szCs w:val="26"/>
          <w:lang w:val="pt-BR"/>
        </w:rPr>
      </w:pPr>
      <w:r w:rsidRPr="00376C5A">
        <w:rPr>
          <w:rFonts w:ascii="Times New Roman" w:eastAsia="Calibri" w:hAnsi="Times New Roman" w:cs="Times New Roman"/>
          <w:color w:val="000000"/>
          <w:sz w:val="28"/>
          <w:szCs w:val="26"/>
          <w:lang w:val="pt-BR"/>
        </w:rPr>
        <w:t xml:space="preserve">Khởi kiện, thi hành án hoặc ủy quyền khởi kiện, thi hành án; </w:t>
      </w:r>
    </w:p>
    <w:p w:rsidR="000752EC" w:rsidRPr="00376C5A" w:rsidRDefault="000752EC" w:rsidP="00376C5A">
      <w:pPr>
        <w:pStyle w:val="ListParagraph"/>
        <w:widowControl w:val="0"/>
        <w:numPr>
          <w:ilvl w:val="0"/>
          <w:numId w:val="2"/>
        </w:numPr>
        <w:spacing w:before="120" w:after="120" w:line="240" w:lineRule="auto"/>
        <w:ind w:left="0" w:firstLine="426"/>
        <w:jc w:val="both"/>
        <w:rPr>
          <w:rFonts w:ascii="Times New Roman" w:eastAsia="Calibri" w:hAnsi="Times New Roman" w:cs="Times New Roman"/>
          <w:sz w:val="28"/>
          <w:szCs w:val="26"/>
          <w:lang w:val="pt-BR"/>
        </w:rPr>
      </w:pPr>
      <w:r w:rsidRPr="00376C5A">
        <w:rPr>
          <w:rFonts w:ascii="Times New Roman" w:eastAsia="Calibri" w:hAnsi="Times New Roman" w:cs="Times New Roman"/>
          <w:color w:val="000000"/>
          <w:sz w:val="28"/>
          <w:szCs w:val="26"/>
          <w:lang w:val="pt-BR"/>
        </w:rPr>
        <w:t>Nộp đơn yêu cầu Tòa án tiến hành các thủ tục phá sản đối với khách hàng vay không có khả năng trả nợ.</w:t>
      </w:r>
    </w:p>
    <w:p w:rsidR="000752EC" w:rsidRDefault="000752EC" w:rsidP="000752EC">
      <w:pPr>
        <w:widowControl w:val="0"/>
        <w:spacing w:before="120" w:after="120" w:line="240" w:lineRule="auto"/>
        <w:ind w:firstLine="720"/>
        <w:jc w:val="both"/>
        <w:rPr>
          <w:rFonts w:ascii="Times New Roman" w:eastAsia="Calibri" w:hAnsi="Times New Roman" w:cs="Times New Roman"/>
          <w:color w:val="000000"/>
          <w:sz w:val="28"/>
          <w:szCs w:val="26"/>
          <w:lang w:val="pt-BR"/>
        </w:rPr>
      </w:pPr>
      <w:r>
        <w:rPr>
          <w:rFonts w:ascii="Times New Roman" w:eastAsia="Calibri" w:hAnsi="Times New Roman" w:cs="Times New Roman"/>
          <w:color w:val="000000"/>
          <w:sz w:val="28"/>
          <w:szCs w:val="26"/>
          <w:lang w:val="pt-BR"/>
        </w:rPr>
        <w:t>Tuy nhiên trong suốt giai đoạn 2013-2020, một số nghiệp vụ xử lý nợ của VAMC vẫn chưa được triển khai như: Chuyển nợ thành vốn góp, vốn cổ phần để tham gia cơ cấu lại tài chính và hoạt động của khách hàng vay; Nhận tài sản bảo đảm của khoản nợ; Nộp đơn yêu cầu Tòa án tiến hành các thủ tục phá sản đối với khách hàng vay không có khả năng trả nợ.</w:t>
      </w:r>
    </w:p>
    <w:p w:rsidR="000752EC" w:rsidRDefault="000752EC" w:rsidP="000752EC">
      <w:pPr>
        <w:widowControl w:val="0"/>
        <w:spacing w:before="120" w:after="120" w:line="240" w:lineRule="auto"/>
        <w:ind w:firstLine="720"/>
        <w:jc w:val="right"/>
        <w:rPr>
          <w:rFonts w:ascii="Times New Roman" w:eastAsia="Calibri" w:hAnsi="Times New Roman" w:cs="Times New Roman"/>
          <w:b/>
          <w:bCs/>
          <w:color w:val="000000"/>
          <w:sz w:val="20"/>
          <w:szCs w:val="20"/>
          <w:lang w:val="pt-BR"/>
        </w:rPr>
      </w:pPr>
      <w:r>
        <w:rPr>
          <w:rFonts w:ascii="Times New Roman" w:eastAsia="Calibri" w:hAnsi="Times New Roman" w:cs="Times New Roman"/>
          <w:b/>
          <w:color w:val="000000"/>
          <w:sz w:val="20"/>
          <w:szCs w:val="20"/>
          <w:lang w:val="pt-BR"/>
        </w:rPr>
        <w:t>PHẠM THỊ HOÀNG ANH</w:t>
      </w:r>
    </w:p>
    <w:p w:rsidR="000752EC" w:rsidRDefault="000752EC" w:rsidP="000752EC">
      <w:pPr>
        <w:widowControl w:val="0"/>
        <w:spacing w:before="120" w:after="120" w:line="240" w:lineRule="auto"/>
        <w:jc w:val="both"/>
        <w:rPr>
          <w:rFonts w:ascii="Times New Roman" w:eastAsia="Calibri" w:hAnsi="Times New Roman" w:cs="Times New Roman"/>
          <w:color w:val="000000"/>
          <w:sz w:val="28"/>
          <w:szCs w:val="26"/>
          <w:lang w:val="pt-BR"/>
        </w:rPr>
      </w:pPr>
    </w:p>
    <w:p w:rsidR="000752EC" w:rsidRDefault="000752EC" w:rsidP="000752EC">
      <w:pPr>
        <w:widowControl w:val="0"/>
        <w:spacing w:before="120" w:after="120" w:line="240" w:lineRule="auto"/>
        <w:jc w:val="both"/>
        <w:rPr>
          <w:rFonts w:ascii="Times New Roman" w:eastAsia="Calibri" w:hAnsi="Times New Roman" w:cs="Times New Roman"/>
          <w:b/>
          <w:bCs/>
          <w:color w:val="000000"/>
          <w:sz w:val="24"/>
          <w:szCs w:val="26"/>
          <w:lang w:val="pt-BR"/>
        </w:rPr>
      </w:pPr>
      <w:r>
        <w:rPr>
          <w:rFonts w:ascii="Times New Roman" w:eastAsia="Calibri" w:hAnsi="Times New Roman" w:cs="Times New Roman"/>
          <w:b/>
          <w:color w:val="000000"/>
          <w:sz w:val="24"/>
          <w:szCs w:val="26"/>
          <w:lang w:val="pt-BR"/>
        </w:rPr>
        <w:t>Tài liệu tham khảo:</w:t>
      </w:r>
    </w:p>
    <w:p w:rsidR="000752EC" w:rsidRPr="00376C5A" w:rsidRDefault="000752EC" w:rsidP="000752EC">
      <w:pPr>
        <w:numPr>
          <w:ilvl w:val="0"/>
          <w:numId w:val="1"/>
        </w:numPr>
        <w:spacing w:after="0" w:line="240" w:lineRule="auto"/>
        <w:ind w:left="284" w:hanging="284"/>
        <w:contextualSpacing/>
        <w:jc w:val="both"/>
        <w:rPr>
          <w:rFonts w:ascii="Times New Roman" w:eastAsia="Calibri" w:hAnsi="Times New Roman" w:cs="Times New Roman"/>
          <w:sz w:val="24"/>
          <w:szCs w:val="24"/>
          <w:lang w:val="pt-BR"/>
        </w:rPr>
      </w:pPr>
      <w:r w:rsidRPr="00376C5A">
        <w:rPr>
          <w:rFonts w:ascii="Times New Roman" w:eastAsia="Calibri" w:hAnsi="Times New Roman" w:cs="Times New Roman"/>
          <w:sz w:val="24"/>
          <w:szCs w:val="24"/>
          <w:lang w:val="pt-BR"/>
        </w:rPr>
        <w:t xml:space="preserve">Bùi Tín Nghị và cộng sự, </w:t>
      </w:r>
      <w:r w:rsidRPr="00376C5A">
        <w:rPr>
          <w:rFonts w:ascii="Times New Roman" w:eastAsia="Calibri" w:hAnsi="Times New Roman" w:cs="Times New Roman"/>
          <w:i/>
          <w:iCs/>
          <w:sz w:val="24"/>
          <w:szCs w:val="24"/>
          <w:lang w:val="pt-BR"/>
        </w:rPr>
        <w:t>Nghiên cứu định hướng hoạt động của VAMC sau năm 2020</w:t>
      </w:r>
      <w:r w:rsidRPr="00376C5A">
        <w:rPr>
          <w:rFonts w:ascii="Times New Roman" w:eastAsia="Calibri" w:hAnsi="Times New Roman" w:cs="Times New Roman"/>
          <w:sz w:val="24"/>
          <w:szCs w:val="24"/>
          <w:lang w:val="pt-BR"/>
        </w:rPr>
        <w:t>, Đề tài cấp Bộ ngành ngân hàng năm 2019, 2021.</w:t>
      </w:r>
    </w:p>
    <w:p w:rsidR="000752EC" w:rsidRPr="00376C5A" w:rsidRDefault="000752EC" w:rsidP="000752EC">
      <w:pPr>
        <w:numPr>
          <w:ilvl w:val="0"/>
          <w:numId w:val="1"/>
        </w:numPr>
        <w:spacing w:after="0" w:line="240" w:lineRule="auto"/>
        <w:ind w:left="284" w:hanging="284"/>
        <w:contextualSpacing/>
        <w:jc w:val="both"/>
        <w:rPr>
          <w:rFonts w:ascii="Times New Roman" w:eastAsia="Calibri" w:hAnsi="Times New Roman" w:cs="Times New Roman"/>
          <w:sz w:val="24"/>
          <w:szCs w:val="24"/>
          <w:lang w:val="pt-BR"/>
        </w:rPr>
      </w:pPr>
      <w:r w:rsidRPr="00376C5A">
        <w:rPr>
          <w:rFonts w:ascii="Times New Roman" w:eastAsia="Calibri" w:hAnsi="Times New Roman" w:cs="Times New Roman"/>
          <w:sz w:val="24"/>
          <w:szCs w:val="24"/>
          <w:lang w:val="pt-BR"/>
        </w:rPr>
        <w:t xml:space="preserve">Nguyễn Thị Kim Quỳnh, </w:t>
      </w:r>
      <w:r w:rsidRPr="00376C5A">
        <w:rPr>
          <w:rFonts w:ascii="Times New Roman" w:eastAsia="Calibri" w:hAnsi="Times New Roman" w:cs="Times New Roman"/>
          <w:i/>
          <w:iCs/>
          <w:sz w:val="24"/>
          <w:szCs w:val="24"/>
          <w:lang w:val="pt-BR"/>
        </w:rPr>
        <w:t>Nâng cao hiệu quả xử lý nợ xấu của công ty quản lý tài sản đối với các tổ chức tín dụng Việt Nam</w:t>
      </w:r>
      <w:r w:rsidRPr="00376C5A">
        <w:rPr>
          <w:rFonts w:ascii="Times New Roman" w:eastAsia="Calibri" w:hAnsi="Times New Roman" w:cs="Times New Roman"/>
          <w:sz w:val="24"/>
          <w:szCs w:val="24"/>
          <w:lang w:val="pt-BR"/>
        </w:rPr>
        <w:t>, Luận án Tiến sĩ kinh tế, Học viện Ngân hàng, 2020.</w:t>
      </w:r>
    </w:p>
    <w:p w:rsidR="000002AF" w:rsidRPr="00376C5A" w:rsidRDefault="000752EC" w:rsidP="00376C5A">
      <w:pPr>
        <w:numPr>
          <w:ilvl w:val="0"/>
          <w:numId w:val="1"/>
        </w:numPr>
        <w:spacing w:after="0" w:line="240" w:lineRule="auto"/>
        <w:ind w:left="284" w:hanging="284"/>
        <w:contextualSpacing/>
        <w:jc w:val="both"/>
        <w:rPr>
          <w:rFonts w:ascii="Times New Roman" w:hAnsi="Times New Roman" w:cs="Times New Roman"/>
        </w:rPr>
      </w:pPr>
      <w:r w:rsidRPr="00376C5A">
        <w:rPr>
          <w:rFonts w:ascii="Times New Roman" w:eastAsia="Calibri" w:hAnsi="Times New Roman" w:cs="Times New Roman"/>
          <w:sz w:val="24"/>
          <w:szCs w:val="24"/>
          <w:lang w:val="en-US"/>
        </w:rPr>
        <w:t xml:space="preserve">Woo, D., </w:t>
      </w:r>
      <w:r w:rsidRPr="00376C5A">
        <w:rPr>
          <w:rFonts w:ascii="Times New Roman" w:eastAsia="Calibri" w:hAnsi="Times New Roman" w:cs="Times New Roman"/>
          <w:i/>
          <w:iCs/>
          <w:sz w:val="24"/>
          <w:szCs w:val="24"/>
          <w:lang w:val="en-US"/>
        </w:rPr>
        <w:t xml:space="preserve">Two Approaches to Resolving Nonperforming Assets </w:t>
      </w:r>
      <w:proofErr w:type="gramStart"/>
      <w:r w:rsidRPr="00376C5A">
        <w:rPr>
          <w:rFonts w:ascii="Times New Roman" w:eastAsia="Calibri" w:hAnsi="Times New Roman" w:cs="Times New Roman"/>
          <w:i/>
          <w:iCs/>
          <w:sz w:val="24"/>
          <w:szCs w:val="24"/>
          <w:lang w:val="en-US"/>
        </w:rPr>
        <w:t>During</w:t>
      </w:r>
      <w:proofErr w:type="gramEnd"/>
      <w:r w:rsidRPr="00376C5A">
        <w:rPr>
          <w:rFonts w:ascii="Times New Roman" w:eastAsia="Calibri" w:hAnsi="Times New Roman" w:cs="Times New Roman"/>
          <w:i/>
          <w:iCs/>
          <w:sz w:val="24"/>
          <w:szCs w:val="24"/>
          <w:lang w:val="en-US"/>
        </w:rPr>
        <w:t xml:space="preserve"> Financial Crises</w:t>
      </w:r>
      <w:r w:rsidRPr="00376C5A">
        <w:rPr>
          <w:rFonts w:ascii="Times New Roman" w:eastAsia="Calibri" w:hAnsi="Times New Roman" w:cs="Times New Roman"/>
          <w:sz w:val="24"/>
          <w:szCs w:val="24"/>
          <w:lang w:val="en-US"/>
        </w:rPr>
        <w:t>, IMF Working Paper No. 00/33 (Washington, D.C.: International Monetary Fund), 2000.</w:t>
      </w:r>
    </w:p>
    <w:sectPr w:rsidR="000002AF" w:rsidRPr="00376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C79DE"/>
    <w:multiLevelType w:val="hybridMultilevel"/>
    <w:tmpl w:val="F78EAE6E"/>
    <w:lvl w:ilvl="0" w:tplc="96049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8013F7"/>
    <w:multiLevelType w:val="multilevel"/>
    <w:tmpl w:val="7C8013F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EC"/>
    <w:rsid w:val="000002AF"/>
    <w:rsid w:val="000752EC"/>
    <w:rsid w:val="00130472"/>
    <w:rsid w:val="00345D42"/>
    <w:rsid w:val="00376C5A"/>
    <w:rsid w:val="005A00AB"/>
    <w:rsid w:val="00786A87"/>
    <w:rsid w:val="008A31A3"/>
    <w:rsid w:val="00B74BF9"/>
    <w:rsid w:val="00C45A42"/>
    <w:rsid w:val="00D13272"/>
    <w:rsid w:val="00F151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2EC"/>
    <w:pPr>
      <w:keepNext/>
      <w:spacing w:before="240" w:after="60" w:line="240" w:lineRule="auto"/>
      <w:jc w:val="both"/>
      <w:outlineLvl w:val="0"/>
    </w:pPr>
    <w:rPr>
      <w:rFonts w:ascii="Times New Roman" w:eastAsia="Times New Roman" w:hAnsi="Times New Roman" w:cs="Times New Roman"/>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52EC"/>
    <w:rPr>
      <w:rFonts w:ascii="Times New Roman" w:eastAsia="Times New Roman" w:hAnsi="Times New Roman" w:cs="Times New Roman"/>
      <w:bCs/>
      <w:kern w:val="32"/>
      <w:sz w:val="28"/>
      <w:szCs w:val="32"/>
      <w:lang w:val="en-US"/>
    </w:rPr>
  </w:style>
  <w:style w:type="paragraph" w:styleId="ListParagraph">
    <w:name w:val="List Paragraph"/>
    <w:basedOn w:val="Normal"/>
    <w:uiPriority w:val="34"/>
    <w:qFormat/>
    <w:rsid w:val="008A31A3"/>
    <w:pPr>
      <w:ind w:left="720"/>
      <w:contextualSpacing/>
    </w:pPr>
  </w:style>
  <w:style w:type="paragraph" w:styleId="BalloonText">
    <w:name w:val="Balloon Text"/>
    <w:basedOn w:val="Normal"/>
    <w:link w:val="BalloonTextChar"/>
    <w:uiPriority w:val="99"/>
    <w:semiHidden/>
    <w:unhideWhenUsed/>
    <w:rsid w:val="00376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52EC"/>
    <w:pPr>
      <w:keepNext/>
      <w:spacing w:before="240" w:after="60" w:line="240" w:lineRule="auto"/>
      <w:jc w:val="both"/>
      <w:outlineLvl w:val="0"/>
    </w:pPr>
    <w:rPr>
      <w:rFonts w:ascii="Times New Roman" w:eastAsia="Times New Roman" w:hAnsi="Times New Roman" w:cs="Times New Roman"/>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752EC"/>
    <w:rPr>
      <w:rFonts w:ascii="Times New Roman" w:eastAsia="Times New Roman" w:hAnsi="Times New Roman" w:cs="Times New Roman"/>
      <w:bCs/>
      <w:kern w:val="32"/>
      <w:sz w:val="28"/>
      <w:szCs w:val="32"/>
      <w:lang w:val="en-US"/>
    </w:rPr>
  </w:style>
  <w:style w:type="paragraph" w:styleId="ListParagraph">
    <w:name w:val="List Paragraph"/>
    <w:basedOn w:val="Normal"/>
    <w:uiPriority w:val="34"/>
    <w:qFormat/>
    <w:rsid w:val="008A31A3"/>
    <w:pPr>
      <w:ind w:left="720"/>
      <w:contextualSpacing/>
    </w:pPr>
  </w:style>
  <w:style w:type="paragraph" w:styleId="BalloonText">
    <w:name w:val="Balloon Text"/>
    <w:basedOn w:val="Normal"/>
    <w:link w:val="BalloonTextChar"/>
    <w:uiPriority w:val="99"/>
    <w:semiHidden/>
    <w:unhideWhenUsed/>
    <w:rsid w:val="00376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2</cp:revision>
  <dcterms:created xsi:type="dcterms:W3CDTF">2024-05-27T09:52:00Z</dcterms:created>
  <dcterms:modified xsi:type="dcterms:W3CDTF">2024-05-27T09:52:00Z</dcterms:modified>
</cp:coreProperties>
</file>